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1E507A53" w:rsidR="00C30224" w:rsidRPr="00D31C1B" w:rsidRDefault="00904F18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5,</w:t>
      </w:r>
      <w:r w:rsidR="001166D7" w:rsidRPr="00D31C1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87306B6" w14:textId="723C07CA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D376F4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010439FD" w:rsidR="00C30224" w:rsidRPr="00D31C1B" w:rsidRDefault="00C30224" w:rsidP="00D31C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>Rezoning Petition 202</w:t>
      </w:r>
      <w:r w:rsidR="00736D68" w:rsidRPr="00D31C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6702" w:rsidRPr="00D31C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654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04F18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A165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04F18">
        <w:rPr>
          <w:rFonts w:ascii="Times New Roman" w:hAnsi="Times New Roman" w:cs="Times New Roman"/>
          <w:b/>
          <w:bCs/>
          <w:sz w:val="24"/>
          <w:szCs w:val="24"/>
        </w:rPr>
        <w:t>W</w:t>
      </w:r>
    </w:p>
    <w:p w14:paraId="47350894" w14:textId="44F36AAB" w:rsidR="00B83DD6" w:rsidRPr="00D31C1B" w:rsidRDefault="0095352C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904F18">
        <w:rPr>
          <w:rFonts w:ascii="Times New Roman" w:hAnsi="Times New Roman" w:cs="Times New Roman"/>
          <w:sz w:val="24"/>
          <w:szCs w:val="24"/>
        </w:rPr>
        <w:t>s</w:t>
      </w:r>
      <w:r w:rsidR="00A16548">
        <w:rPr>
          <w:rFonts w:ascii="Times New Roman" w:hAnsi="Times New Roman" w:cs="Times New Roman"/>
          <w:sz w:val="24"/>
          <w:szCs w:val="24"/>
        </w:rPr>
        <w:t xml:space="preserve"> </w:t>
      </w:r>
      <w:r w:rsidR="00904F18">
        <w:rPr>
          <w:rFonts w:ascii="Times New Roman" w:hAnsi="Times New Roman" w:cs="Times New Roman"/>
          <w:sz w:val="24"/>
          <w:szCs w:val="24"/>
        </w:rPr>
        <w:t>050A-</w:t>
      </w:r>
      <w:r w:rsidR="00627751">
        <w:rPr>
          <w:rFonts w:ascii="Times New Roman" w:hAnsi="Times New Roman" w:cs="Times New Roman"/>
          <w:sz w:val="24"/>
          <w:szCs w:val="24"/>
        </w:rPr>
        <w:t>22</w:t>
      </w:r>
      <w:r w:rsidR="00904F18">
        <w:rPr>
          <w:rFonts w:ascii="Times New Roman" w:hAnsi="Times New Roman" w:cs="Times New Roman"/>
          <w:sz w:val="24"/>
          <w:szCs w:val="24"/>
        </w:rPr>
        <w:t>4 and 050A-225</w:t>
      </w:r>
    </w:p>
    <w:p w14:paraId="65B76547" w14:textId="4EB6B391" w:rsidR="00C5045E" w:rsidRPr="00D31C1B" w:rsidRDefault="00904F18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1.67</w:t>
      </w:r>
      <w:r w:rsidR="006B5E46" w:rsidRPr="00D31C1B">
        <w:rPr>
          <w:rFonts w:ascii="Times New Roman" w:hAnsi="Times New Roman" w:cs="Times New Roman"/>
          <w:sz w:val="24"/>
          <w:szCs w:val="24"/>
        </w:rPr>
        <w:t xml:space="preserve"> acres of land</w:t>
      </w:r>
      <w:proofErr w:type="gramStart"/>
      <w:r w:rsidR="006B5E46" w:rsidRPr="00D31C1B">
        <w:rPr>
          <w:rFonts w:ascii="Times New Roman" w:hAnsi="Times New Roman" w:cs="Times New Roman"/>
          <w:sz w:val="24"/>
          <w:szCs w:val="24"/>
        </w:rPr>
        <w:t>, more or less</w:t>
      </w:r>
      <w:r w:rsidR="00A1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Shaw Road</w:t>
      </w:r>
      <w:proofErr w:type="gramEnd"/>
      <w:r w:rsidR="00A1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Walthourville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40478BBF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D376F4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5D6D6C" w14:textId="74373AD1" w:rsidR="00904F18" w:rsidRDefault="00904F18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4F18">
        <w:rPr>
          <w:rFonts w:ascii="Times New Roman" w:hAnsi="Times New Roman" w:cs="Times New Roman"/>
          <w:sz w:val="24"/>
          <w:szCs w:val="24"/>
        </w:rPr>
        <w:t xml:space="preserve">A rezoning request was submitted by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4F18">
        <w:rPr>
          <w:rFonts w:ascii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4F18">
        <w:rPr>
          <w:rFonts w:ascii="Times New Roman" w:hAnsi="Times New Roman" w:cs="Times New Roman"/>
          <w:sz w:val="24"/>
          <w:szCs w:val="24"/>
        </w:rPr>
        <w:t xml:space="preserve">ngram (property owner) to rezone 1.67 acres from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4F18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4F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4F18">
        <w:rPr>
          <w:rFonts w:ascii="Times New Roman" w:hAnsi="Times New Roman" w:cs="Times New Roman"/>
          <w:sz w:val="24"/>
          <w:szCs w:val="24"/>
        </w:rPr>
        <w:t>ingle-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04F18">
        <w:rPr>
          <w:rFonts w:ascii="Times New Roman" w:hAnsi="Times New Roman" w:cs="Times New Roman"/>
          <w:sz w:val="24"/>
          <w:szCs w:val="24"/>
        </w:rPr>
        <w:t xml:space="preserve">amily,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04F18">
        <w:rPr>
          <w:rFonts w:ascii="Times New Roman" w:hAnsi="Times New Roman" w:cs="Times New Roman"/>
          <w:sz w:val="24"/>
          <w:szCs w:val="24"/>
        </w:rPr>
        <w:t>wo-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04F18">
        <w:rPr>
          <w:rFonts w:ascii="Times New Roman" w:hAnsi="Times New Roman" w:cs="Times New Roman"/>
          <w:sz w:val="24"/>
          <w:szCs w:val="24"/>
        </w:rPr>
        <w:t xml:space="preserve">amily,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4F18">
        <w:rPr>
          <w:rFonts w:ascii="Times New Roman" w:hAnsi="Times New Roman" w:cs="Times New Roman"/>
          <w:sz w:val="24"/>
          <w:szCs w:val="24"/>
        </w:rPr>
        <w:t xml:space="preserve">obile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04F18">
        <w:rPr>
          <w:rFonts w:ascii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4F18">
        <w:rPr>
          <w:rFonts w:ascii="Times New Roman" w:hAnsi="Times New Roman" w:cs="Times New Roman"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4F18">
        <w:rPr>
          <w:rFonts w:ascii="Times New Roman" w:hAnsi="Times New Roman" w:cs="Times New Roman"/>
          <w:sz w:val="24"/>
          <w:szCs w:val="24"/>
        </w:rPr>
        <w:t xml:space="preserve">istrict) to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4F18">
        <w:rPr>
          <w:rFonts w:ascii="Times New Roman" w:hAnsi="Times New Roman" w:cs="Times New Roman"/>
          <w:sz w:val="24"/>
          <w:szCs w:val="24"/>
        </w:rPr>
        <w:t>-3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04F18">
        <w:rPr>
          <w:rFonts w:ascii="Times New Roman" w:hAnsi="Times New Roman" w:cs="Times New Roman"/>
          <w:sz w:val="24"/>
          <w:szCs w:val="24"/>
        </w:rPr>
        <w:t>ulti-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04F18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4F18">
        <w:rPr>
          <w:rFonts w:ascii="Times New Roman" w:hAnsi="Times New Roman" w:cs="Times New Roman"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4F18">
        <w:rPr>
          <w:rFonts w:ascii="Times New Roman" w:hAnsi="Times New Roman" w:cs="Times New Roman"/>
          <w:sz w:val="24"/>
          <w:szCs w:val="24"/>
        </w:rPr>
        <w:t>istrict) for duplexes and two-family structures.</w:t>
      </w:r>
    </w:p>
    <w:p w14:paraId="60C11DBD" w14:textId="5CAF9E6C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0D11141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904F18" w:rsidRPr="00904F18">
        <w:rPr>
          <w:rFonts w:ascii="Times New Roman" w:hAnsi="Times New Roman" w:cs="Times New Roman"/>
          <w:b/>
          <w:bCs/>
          <w:sz w:val="24"/>
          <w:szCs w:val="24"/>
        </w:rPr>
        <w:t>December 20</w:t>
      </w:r>
      <w:r w:rsidR="00B1695D" w:rsidRPr="00904F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04F1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866A3" w:rsidRPr="00904F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4F18">
        <w:rPr>
          <w:rFonts w:ascii="Times New Roman" w:hAnsi="Times New Roman" w:cs="Times New Roman"/>
          <w:b/>
          <w:bCs/>
          <w:sz w:val="24"/>
          <w:szCs w:val="24"/>
        </w:rPr>
        <w:t xml:space="preserve">, at </w:t>
      </w:r>
      <w:r w:rsidR="00EA67A2" w:rsidRPr="00904F18">
        <w:rPr>
          <w:rFonts w:ascii="Times New Roman" w:hAnsi="Times New Roman" w:cs="Times New Roman"/>
          <w:b/>
          <w:bCs/>
          <w:sz w:val="24"/>
          <w:szCs w:val="24"/>
        </w:rPr>
        <w:t>4:30</w:t>
      </w:r>
      <w:r w:rsidRPr="00904F18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Hinesville.</w:t>
      </w:r>
    </w:p>
    <w:p w14:paraId="75519890" w14:textId="0A6C485C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904F18">
        <w:rPr>
          <w:rFonts w:ascii="Times New Roman" w:hAnsi="Times New Roman" w:cs="Times New Roman"/>
          <w:sz w:val="24"/>
          <w:szCs w:val="24"/>
        </w:rPr>
        <w:t xml:space="preserve">Walthourville Mayor and Council </w:t>
      </w:r>
      <w:r w:rsidR="003F775F" w:rsidRPr="00D31C1B">
        <w:rPr>
          <w:rFonts w:ascii="Times New Roman" w:hAnsi="Times New Roman" w:cs="Times New Roman"/>
          <w:sz w:val="24"/>
          <w:szCs w:val="24"/>
        </w:rPr>
        <w:t>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F18">
        <w:rPr>
          <w:rFonts w:ascii="Times New Roman" w:hAnsi="Times New Roman" w:cs="Times New Roman"/>
          <w:b/>
          <w:sz w:val="24"/>
          <w:szCs w:val="24"/>
        </w:rPr>
        <w:t>January 10</w:t>
      </w:r>
      <w:r w:rsidR="00D62CEC" w:rsidRPr="00D31C1B">
        <w:rPr>
          <w:rFonts w:ascii="Times New Roman" w:hAnsi="Times New Roman" w:cs="Times New Roman"/>
          <w:b/>
          <w:sz w:val="24"/>
          <w:szCs w:val="24"/>
        </w:rPr>
        <w:t>, 2022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1210A8" w:rsidRPr="00D31C1B">
        <w:rPr>
          <w:rFonts w:ascii="Times New Roman" w:hAnsi="Times New Roman" w:cs="Times New Roman"/>
          <w:b/>
          <w:sz w:val="24"/>
          <w:szCs w:val="24"/>
        </w:rPr>
        <w:t>6</w:t>
      </w:r>
      <w:r w:rsidR="003F775F" w:rsidRPr="00D31C1B">
        <w:rPr>
          <w:rFonts w:ascii="Times New Roman" w:hAnsi="Times New Roman" w:cs="Times New Roman"/>
          <w:b/>
          <w:sz w:val="24"/>
          <w:szCs w:val="24"/>
        </w:rPr>
        <w:t>:00</w:t>
      </w:r>
      <w:r w:rsidR="009F3E6F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904F18">
        <w:rPr>
          <w:rFonts w:ascii="Times New Roman" w:hAnsi="Times New Roman" w:cs="Times New Roman"/>
          <w:bCs/>
          <w:sz w:val="24"/>
          <w:szCs w:val="24"/>
        </w:rPr>
        <w:t>Walthourville Police Department</w:t>
      </w:r>
      <w:r w:rsidR="009B67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4F18">
        <w:rPr>
          <w:rFonts w:ascii="Times New Roman" w:hAnsi="Times New Roman" w:cs="Times New Roman"/>
          <w:bCs/>
          <w:sz w:val="24"/>
          <w:szCs w:val="24"/>
        </w:rPr>
        <w:t>192 B Talmadge Road, Walthourville</w:t>
      </w:r>
      <w:r w:rsidR="009B67C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3994CBE1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04F18">
        <w:rPr>
          <w:rFonts w:ascii="Times New Roman" w:hAnsi="Times New Roman" w:cs="Times New Roman"/>
          <w:sz w:val="24"/>
          <w:szCs w:val="24"/>
        </w:rPr>
        <w:t>34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17BE8B5D" w:rsidR="00C30224" w:rsidRDefault="00904F18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51F31" wp14:editId="658B75B0">
            <wp:extent cx="1457325" cy="639459"/>
            <wp:effectExtent l="0" t="0" r="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43" cy="6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5C5F958C" w:rsidR="00C30224" w:rsidRPr="00D31C1B" w:rsidRDefault="00904F18" w:rsidP="00D31C1B">
      <w:pPr>
        <w:spacing w:after="0" w:line="24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Maggie Wright</w:t>
      </w:r>
      <w:r w:rsidR="00C30224" w:rsidRPr="00D31C1B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Calibri" w:hAnsi="Calibri" w:cs="Times New Roman"/>
          <w:b/>
          <w:bCs/>
          <w:i/>
          <w:iCs/>
          <w:sz w:val="24"/>
          <w:szCs w:val="24"/>
        </w:rPr>
        <w:t>Planner</w:t>
      </w:r>
    </w:p>
    <w:p w14:paraId="53DC2204" w14:textId="77777777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Liberty Consolidated Planning Commission</w:t>
      </w:r>
    </w:p>
    <w:p w14:paraId="3F11D17D" w14:textId="6F1E863B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(912) 408-</w:t>
      </w:r>
      <w:r w:rsidR="009B67C2" w:rsidRPr="00D31C1B">
        <w:rPr>
          <w:rFonts w:ascii="Calibri" w:hAnsi="Calibri" w:cs="Times New Roman"/>
          <w:sz w:val="24"/>
          <w:szCs w:val="24"/>
        </w:rPr>
        <w:t>20</w:t>
      </w:r>
      <w:r w:rsidR="00904F18">
        <w:rPr>
          <w:rFonts w:ascii="Calibri" w:hAnsi="Calibri" w:cs="Times New Roman"/>
          <w:sz w:val="24"/>
          <w:szCs w:val="24"/>
        </w:rPr>
        <w:t>34</w:t>
      </w:r>
      <w:r w:rsidR="009B67C2" w:rsidRPr="00D31C1B">
        <w:rPr>
          <w:rFonts w:ascii="Calibri" w:hAnsi="Calibri" w:cs="Times New Roman"/>
          <w:sz w:val="24"/>
          <w:szCs w:val="24"/>
        </w:rPr>
        <w:t xml:space="preserve"> Office</w:t>
      </w:r>
    </w:p>
    <w:p w14:paraId="6B6B616B" w14:textId="58C39B4E" w:rsidR="00C30224" w:rsidRDefault="00172912" w:rsidP="00D31C1B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hyperlink r:id="rId9" w:history="1">
        <w:r w:rsidRPr="00E30A0D">
          <w:rPr>
            <w:rStyle w:val="Hyperlink"/>
            <w:rFonts w:ascii="Calibri" w:hAnsi="Calibri" w:cs="Times New Roman"/>
            <w:sz w:val="24"/>
            <w:szCs w:val="24"/>
          </w:rPr>
          <w:t>mwright@thelcpc.org</w:t>
        </w:r>
      </w:hyperlink>
    </w:p>
    <w:p w14:paraId="49D95A84" w14:textId="036E5FA3" w:rsidR="00172912" w:rsidRPr="00D31C1B" w:rsidRDefault="00172912" w:rsidP="00172912">
      <w:pPr>
        <w:spacing w:after="0" w:line="240" w:lineRule="auto"/>
        <w:jc w:val="center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noProof/>
          <w:color w:val="1F497D"/>
          <w:sz w:val="24"/>
          <w:szCs w:val="24"/>
        </w:rPr>
        <w:lastRenderedPageBreak/>
        <w:drawing>
          <wp:inline distT="0" distB="0" distL="0" distR="0" wp14:anchorId="31AAA22C" wp14:editId="32B1AFF5">
            <wp:extent cx="5715000" cy="3695700"/>
            <wp:effectExtent l="38100" t="38100" r="38100" b="381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" t="7394" r="7000" b="20887"/>
                    <a:stretch/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7D554FA2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2912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4BC7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27751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4F18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376F4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wright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Relationship Id="rId1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5</cp:revision>
  <cp:lastPrinted>2022-03-23T19:14:00Z</cp:lastPrinted>
  <dcterms:created xsi:type="dcterms:W3CDTF">2022-11-22T17:45:00Z</dcterms:created>
  <dcterms:modified xsi:type="dcterms:W3CDTF">2022-11-22T20:58:00Z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